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9D3378" w:rsidRPr="006F6CA9" w:rsidTr="00803B90">
        <w:trPr>
          <w:trHeight w:val="383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bookmarkStart w:id="0" w:name="_GoBack"/>
            <w:bookmarkEnd w:id="0"/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Academic Year: </w:t>
            </w:r>
            <w:r w:rsidR="00105C4C">
              <w:rPr>
                <w:rFonts w:asciiTheme="minorHAnsi" w:hAnsiTheme="minorHAnsi"/>
                <w:color w:val="231F20"/>
                <w:sz w:val="24"/>
              </w:rPr>
              <w:t>2021-22</w:t>
            </w:r>
          </w:p>
        </w:tc>
        <w:tc>
          <w:tcPr>
            <w:tcW w:w="3600" w:type="dxa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Total fund allocated: </w:t>
            </w:r>
            <w:r w:rsidRPr="006F6CA9">
              <w:rPr>
                <w:rFonts w:asciiTheme="minorHAnsi" w:hAnsiTheme="minorHAnsi"/>
                <w:color w:val="231F20"/>
                <w:sz w:val="24"/>
              </w:rPr>
              <w:t>£</w:t>
            </w:r>
            <w:r w:rsidR="00105C4C">
              <w:rPr>
                <w:rFonts w:asciiTheme="minorHAnsi" w:hAnsiTheme="minorHAnsi"/>
                <w:color w:val="231F20"/>
                <w:sz w:val="24"/>
              </w:rPr>
              <w:t>17,800</w:t>
            </w:r>
          </w:p>
        </w:tc>
        <w:tc>
          <w:tcPr>
            <w:tcW w:w="4923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Date Updated:</w:t>
            </w:r>
            <w:r w:rsidR="00105C4C">
              <w:rPr>
                <w:rFonts w:asciiTheme="minorHAnsi" w:hAnsiTheme="minorHAnsi"/>
                <w:b/>
                <w:color w:val="231F20"/>
                <w:sz w:val="24"/>
              </w:rPr>
              <w:t xml:space="preserve"> 19.9.21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2"/>
        </w:trPr>
        <w:tc>
          <w:tcPr>
            <w:tcW w:w="12243" w:type="dxa"/>
            <w:gridSpan w:val="4"/>
            <w:vMerge w:val="restart"/>
          </w:tcPr>
          <w:p w:rsidR="009D3378" w:rsidRPr="00E13CCD" w:rsidRDefault="009D3378" w:rsidP="00803B90">
            <w:pPr>
              <w:pStyle w:val="TableParagraph"/>
              <w:spacing w:before="26" w:line="235" w:lineRule="auto"/>
              <w:ind w:right="104"/>
              <w:rPr>
                <w:rFonts w:asciiTheme="minorHAnsi" w:hAnsiTheme="minorHAnsi"/>
                <w:b/>
                <w:sz w:val="24"/>
              </w:rPr>
            </w:pPr>
            <w:r w:rsidRPr="00E13CCD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1: The engagement of </w:t>
            </w:r>
            <w:r w:rsidRPr="00E13CCD">
              <w:rPr>
                <w:rFonts w:asciiTheme="minorHAnsi" w:hAnsiTheme="minorHAnsi"/>
                <w:b/>
                <w:color w:val="F26522"/>
                <w:sz w:val="24"/>
                <w:u w:val="single" w:color="F26522"/>
              </w:rPr>
              <w:t>all</w:t>
            </w:r>
            <w:r w:rsidRPr="00E13CCD">
              <w:rPr>
                <w:rFonts w:asciiTheme="minorHAnsi" w:hAnsiTheme="minorHAnsi"/>
                <w:b/>
                <w:color w:val="F26522"/>
                <w:sz w:val="24"/>
              </w:rPr>
              <w:t xml:space="preserve"> pupils in regular physical activity – Chief Medical Officer guidelines recommend that primary school pupils undertake at least 30 minutes of physical activity a day in school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spacing w:before="21" w:line="292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9D3378" w:rsidRPr="003C5E7A" w:rsidRDefault="00DA3000" w:rsidP="00803B90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0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25252A" w:rsidRPr="00DA3000" w:rsidRDefault="0025252A" w:rsidP="00803B90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b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£0</w:t>
            </w:r>
          </w:p>
        </w:tc>
      </w:tr>
      <w:tr w:rsidR="009D3378" w:rsidRPr="006F6CA9" w:rsidTr="00803B90">
        <w:trPr>
          <w:trHeight w:val="390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9D3378" w:rsidRPr="006F6CA9" w:rsidRDefault="009D3378" w:rsidP="00803B90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5DAF">
        <w:trPr>
          <w:trHeight w:val="851"/>
        </w:trPr>
        <w:tc>
          <w:tcPr>
            <w:tcW w:w="372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 what you want the pupils to know and be able to do and about</w:t>
            </w:r>
          </w:p>
          <w:p w:rsidR="009D3378" w:rsidRPr="00BF5DAF" w:rsidRDefault="009D3378" w:rsidP="00803B90">
            <w:pPr>
              <w:pStyle w:val="TableParagraph"/>
              <w:spacing w:line="289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  <w:p w:rsidR="009D3378" w:rsidRPr="00BF5DAF" w:rsidRDefault="009D3378" w:rsidP="00803B90">
            <w:pPr>
              <w:pStyle w:val="TableParagraph"/>
              <w:spacing w:line="276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60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 allocated:</w:t>
            </w:r>
          </w:p>
        </w:tc>
        <w:tc>
          <w:tcPr>
            <w:tcW w:w="3307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 next steps:</w:t>
            </w:r>
          </w:p>
        </w:tc>
      </w:tr>
      <w:tr w:rsidR="009D3378" w:rsidRPr="006F6CA9" w:rsidTr="00803B90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9D3378" w:rsidRPr="003C5E7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All children to take part in a minimum of 30 active minutes during the school day on top of existing break and lunch times.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9D3378" w:rsidRPr="003C5E7A" w:rsidRDefault="00B256E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Continuation of the daily mile each day for all classes.</w:t>
            </w:r>
          </w:p>
          <w:p w:rsidR="00E13CCD" w:rsidRPr="003C5E7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19656A" w:rsidRPr="003C5E7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Staff CPD on the importance of 30 active minutes and ways/activities to encourage this within class.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9D3378" w:rsidRPr="003C5E7A" w:rsidRDefault="00E13CCD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N/A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</w:tr>
      <w:tr w:rsidR="009D3378" w:rsidRPr="006F6CA9" w:rsidTr="00803B90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9D3378" w:rsidRDefault="009D3378" w:rsidP="00803B90">
            <w:pPr>
              <w:pStyle w:val="TableParagraph"/>
              <w:spacing w:before="16"/>
              <w:rPr>
                <w:rFonts w:asciiTheme="minorHAnsi" w:hAnsiTheme="minorHAnsi"/>
                <w:color w:val="F26522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2: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The profile of PESSPA being raised across the school as a tool for whole school improvement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Schools must use the funding to make additional and sustainable improvements to the quality of Physical Education, School Sport and Physical Activity (PESSPA) they offer. This means that you should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use the P</w:t>
            </w:r>
            <w:r>
              <w:rPr>
                <w:rFonts w:asciiTheme="minorHAnsi" w:hAnsiTheme="minorHAnsi"/>
                <w:sz w:val="18"/>
              </w:rPr>
              <w:t>rimary PE and Sport Premium to: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•</w:t>
            </w:r>
            <w:r w:rsidRPr="008278DF">
              <w:rPr>
                <w:rFonts w:asciiTheme="minorHAnsi" w:hAnsiTheme="minorHAnsi"/>
                <w:sz w:val="18"/>
              </w:rPr>
              <w:tab/>
              <w:t>Develop or add to the PESSPA activities that your school already offer</w:t>
            </w:r>
          </w:p>
          <w:p w:rsidR="008278DF" w:rsidRPr="006F6CA9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8278DF">
              <w:rPr>
                <w:rFonts w:asciiTheme="minorHAnsi" w:hAnsiTheme="minorHAnsi"/>
                <w:sz w:val="18"/>
              </w:rPr>
              <w:t>•</w:t>
            </w:r>
            <w:r w:rsidRPr="008278DF">
              <w:rPr>
                <w:rFonts w:asciiTheme="minorHAnsi" w:hAnsiTheme="minorHAnsi"/>
                <w:sz w:val="18"/>
              </w:rPr>
              <w:tab/>
              <w:t>Build capacity and capability within the school to ensure that improvements made now will benefit pupils joining the school in future years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9D3378" w:rsidRPr="006F6CA9" w:rsidRDefault="009D3378" w:rsidP="00803B90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9D3378" w:rsidRPr="004B7F31" w:rsidRDefault="004B7F31" w:rsidP="00803B90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b/>
                <w:color w:val="5B9BD5" w:themeColor="accent1"/>
                <w:sz w:val="24"/>
              </w:rPr>
            </w:pPr>
            <w:r w:rsidRPr="004B7F31">
              <w:rPr>
                <w:rFonts w:asciiTheme="minorHAnsi" w:hAnsiTheme="minorHAnsi"/>
                <w:b/>
                <w:color w:val="5B9BD5" w:themeColor="accent1"/>
                <w:sz w:val="24"/>
              </w:rPr>
              <w:t>53</w:t>
            </w:r>
            <w:r w:rsidR="009D3378" w:rsidRPr="004B7F31">
              <w:rPr>
                <w:rFonts w:asciiTheme="minorHAnsi" w:hAnsiTheme="minorHAnsi"/>
                <w:b/>
                <w:color w:val="5B9BD5" w:themeColor="accent1"/>
                <w:sz w:val="24"/>
              </w:rPr>
              <w:t>%</w:t>
            </w:r>
          </w:p>
          <w:p w:rsidR="00B72AA0" w:rsidRPr="006F6CA9" w:rsidRDefault="004B7F31" w:rsidP="00803B90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4B7F31">
              <w:rPr>
                <w:rFonts w:asciiTheme="minorHAnsi" w:hAnsiTheme="minorHAnsi"/>
                <w:b/>
                <w:color w:val="5B9BD5" w:themeColor="accent1"/>
                <w:sz w:val="24"/>
              </w:rPr>
              <w:t>£9395</w:t>
            </w:r>
          </w:p>
        </w:tc>
      </w:tr>
      <w:tr w:rsidR="009D3378" w:rsidRPr="006F6CA9" w:rsidTr="00803B90">
        <w:trPr>
          <w:trHeight w:val="405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9D3378" w:rsidRPr="006F6CA9" w:rsidRDefault="009D3378" w:rsidP="00803B90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5DAF">
        <w:trPr>
          <w:trHeight w:val="976"/>
        </w:trPr>
        <w:tc>
          <w:tcPr>
            <w:tcW w:w="372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 what you want the pupils to know and be able to do and about</w:t>
            </w:r>
          </w:p>
          <w:p w:rsidR="009D3378" w:rsidRPr="00BF5DAF" w:rsidRDefault="009D3378" w:rsidP="00803B90">
            <w:pPr>
              <w:pStyle w:val="TableParagraph"/>
              <w:spacing w:line="289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  <w:p w:rsidR="009D3378" w:rsidRPr="00BF5DAF" w:rsidRDefault="009D3378" w:rsidP="00803B90">
            <w:pPr>
              <w:pStyle w:val="TableParagraph"/>
              <w:spacing w:line="276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60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 allocated:</w:t>
            </w:r>
          </w:p>
        </w:tc>
        <w:tc>
          <w:tcPr>
            <w:tcW w:w="3307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 next steps:</w:t>
            </w:r>
          </w:p>
        </w:tc>
      </w:tr>
      <w:tr w:rsidR="009D3378" w:rsidRPr="006F6CA9" w:rsidTr="00803B90">
        <w:trPr>
          <w:trHeight w:val="1690"/>
        </w:trPr>
        <w:tc>
          <w:tcPr>
            <w:tcW w:w="3720" w:type="dxa"/>
          </w:tcPr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Ensure all children have access to high quality PE lessons with appropriate equipment.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Increase opportunities for children to take part in school sport by reintroducing a range of sporting club </w:t>
            </w: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lastRenderedPageBreak/>
              <w:t>opportunities.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Provide children with increased opportunities for ‘active’ break and lunch times.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SDP: Pupils have access to a wide range of opportunities and a rich set of experiences</w:t>
            </w: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3600" w:type="dxa"/>
          </w:tcPr>
          <w:p w:rsidR="007B7FF6" w:rsidRPr="004B7F31" w:rsidRDefault="007B7FF6" w:rsidP="007B7FF6">
            <w:pPr>
              <w:rPr>
                <w:b/>
                <w:color w:val="5B9BD5" w:themeColor="accent1"/>
              </w:rPr>
            </w:pPr>
            <w:r w:rsidRPr="004B7F31">
              <w:rPr>
                <w:color w:val="5B9BD5" w:themeColor="accent1"/>
              </w:rPr>
              <w:lastRenderedPageBreak/>
              <w:t>KS1 and KS2 football clubs subsidised throughout</w:t>
            </w:r>
            <w:r w:rsidR="00041DCF" w:rsidRPr="004B7F31">
              <w:rPr>
                <w:color w:val="5B9BD5" w:themeColor="accent1"/>
              </w:rPr>
              <w:t xml:space="preserve"> the school year.</w:t>
            </w:r>
          </w:p>
          <w:p w:rsidR="00B256EF" w:rsidRPr="004B7F31" w:rsidRDefault="00B256EF" w:rsidP="007B7FF6">
            <w:pPr>
              <w:rPr>
                <w:b/>
                <w:color w:val="5B9BD5" w:themeColor="accent1"/>
              </w:rPr>
            </w:pPr>
          </w:p>
          <w:p w:rsidR="00B256EF" w:rsidRPr="004B7F31" w:rsidRDefault="00B256EF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Build a sustained activity area for whole school children to ensure active movement at breaks and lunchtimes.</w:t>
            </w:r>
          </w:p>
          <w:p w:rsidR="00B256EF" w:rsidRPr="004B7F31" w:rsidRDefault="00B256EF" w:rsidP="007B7FF6">
            <w:pPr>
              <w:rPr>
                <w:color w:val="5B9BD5" w:themeColor="accent1"/>
              </w:rPr>
            </w:pPr>
          </w:p>
          <w:p w:rsidR="004207E5" w:rsidRPr="004B7F31" w:rsidRDefault="004207E5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lastRenderedPageBreak/>
              <w:t>Tennis club</w:t>
            </w:r>
            <w:r w:rsidR="00041DCF" w:rsidRPr="004B7F31">
              <w:rPr>
                <w:color w:val="5B9BD5" w:themeColor="accent1"/>
              </w:rPr>
              <w:t xml:space="preserve"> across the whole school year for all years</w:t>
            </w:r>
          </w:p>
          <w:p w:rsidR="00585504" w:rsidRPr="004B7F31" w:rsidRDefault="00585504" w:rsidP="007B7FF6">
            <w:pPr>
              <w:rPr>
                <w:color w:val="5B9BD5" w:themeColor="accent1"/>
              </w:rPr>
            </w:pPr>
          </w:p>
          <w:p w:rsidR="000674B9" w:rsidRPr="004B7F31" w:rsidRDefault="00585504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Premier sports</w:t>
            </w:r>
            <w:r w:rsidR="00041DCF" w:rsidRPr="004B7F31">
              <w:rPr>
                <w:color w:val="5B9BD5" w:themeColor="accent1"/>
              </w:rPr>
              <w:t xml:space="preserve"> coach to offer engaging and alternative golden time PE sessions and an afterschool club for all classes over the school year</w:t>
            </w:r>
            <w:r w:rsidRPr="004B7F31">
              <w:rPr>
                <w:color w:val="5B9BD5" w:themeColor="accent1"/>
              </w:rPr>
              <w:t xml:space="preserve"> 2550</w:t>
            </w:r>
          </w:p>
          <w:p w:rsidR="00585504" w:rsidRPr="004B7F31" w:rsidRDefault="00585504" w:rsidP="007B7FF6">
            <w:pPr>
              <w:rPr>
                <w:color w:val="5B9BD5" w:themeColor="accent1"/>
              </w:rPr>
            </w:pP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Reintroduction of sports leaders with internal training on how to lead active games at break and lunch times.</w:t>
            </w: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Leaders to create a game pack to support others leading games in the future.</w:t>
            </w: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</w:p>
          <w:p w:rsidR="00491062" w:rsidRPr="004B7F31" w:rsidRDefault="00041DCF" w:rsidP="00041DCF">
            <w:pPr>
              <w:rPr>
                <w:b/>
                <w:color w:val="5B9BD5" w:themeColor="accent1"/>
              </w:rPr>
            </w:pPr>
            <w:r w:rsidRPr="004B7F31">
              <w:rPr>
                <w:color w:val="5B9BD5" w:themeColor="accent1"/>
              </w:rPr>
              <w:t xml:space="preserve">Purchase </w:t>
            </w:r>
            <w:r w:rsidR="00585504" w:rsidRPr="004B7F31">
              <w:rPr>
                <w:color w:val="5B9BD5" w:themeColor="accent1"/>
              </w:rPr>
              <w:t>P</w:t>
            </w:r>
            <w:r w:rsidRPr="004B7F31">
              <w:rPr>
                <w:color w:val="5B9BD5" w:themeColor="accent1"/>
              </w:rPr>
              <w:t>E</w:t>
            </w:r>
            <w:r w:rsidR="00585504" w:rsidRPr="004B7F31">
              <w:rPr>
                <w:color w:val="5B9BD5" w:themeColor="accent1"/>
              </w:rPr>
              <w:t xml:space="preserve"> equipment</w:t>
            </w:r>
            <w:r w:rsidRPr="004B7F31">
              <w:rPr>
                <w:color w:val="5B9BD5" w:themeColor="accent1"/>
              </w:rPr>
              <w:t xml:space="preserve"> to ensure resources are adequate for curriculum lessons and active playground activities led by sports leaders.</w:t>
            </w:r>
            <w:r w:rsidR="00585504" w:rsidRPr="004B7F31">
              <w:rPr>
                <w:b/>
                <w:color w:val="5B9BD5" w:themeColor="accent1"/>
              </w:rPr>
              <w:t xml:space="preserve"> </w:t>
            </w:r>
          </w:p>
        </w:tc>
        <w:tc>
          <w:tcPr>
            <w:tcW w:w="1616" w:type="dxa"/>
          </w:tcPr>
          <w:p w:rsidR="009D3378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4B7F31">
              <w:rPr>
                <w:b/>
                <w:color w:val="5B9BD5" w:themeColor="accent1"/>
              </w:rPr>
              <w:lastRenderedPageBreak/>
              <w:t>Total: £600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4B7F31">
              <w:rPr>
                <w:b/>
                <w:color w:val="5B9BD5" w:themeColor="accent1"/>
              </w:rPr>
              <w:t>Total:</w:t>
            </w:r>
            <w:r w:rsidR="00B72AA0" w:rsidRPr="004B7F31">
              <w:rPr>
                <w:b/>
                <w:color w:val="5B9BD5" w:themeColor="accent1"/>
              </w:rPr>
              <w:t xml:space="preserve"> £</w:t>
            </w:r>
            <w:r w:rsidR="004B7F31" w:rsidRPr="004B7F31">
              <w:rPr>
                <w:b/>
                <w:color w:val="5B9BD5" w:themeColor="accent1"/>
              </w:rPr>
              <w:t>2637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4B7F31">
              <w:rPr>
                <w:b/>
                <w:color w:val="5B9BD5" w:themeColor="accent1"/>
              </w:rPr>
              <w:lastRenderedPageBreak/>
              <w:t>Total: £1365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4B7F31">
              <w:rPr>
                <w:b/>
                <w:color w:val="5B9BD5" w:themeColor="accent1"/>
              </w:rPr>
              <w:t xml:space="preserve">Total: </w:t>
            </w:r>
            <w:r w:rsidR="00B72AA0" w:rsidRPr="004B7F31">
              <w:rPr>
                <w:b/>
                <w:color w:val="5B9BD5" w:themeColor="accent1"/>
              </w:rPr>
              <w:t>£</w:t>
            </w:r>
            <w:r w:rsidRPr="004B7F31">
              <w:rPr>
                <w:b/>
                <w:color w:val="5B9BD5" w:themeColor="accent1"/>
              </w:rPr>
              <w:t>2550.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N/A</w:t>
            </w: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5B9BD5" w:themeColor="accent1"/>
                <w:sz w:val="24"/>
              </w:rPr>
            </w:pPr>
            <w:r w:rsidRPr="004B7F31">
              <w:rPr>
                <w:b/>
                <w:color w:val="5B9BD5" w:themeColor="accent1"/>
              </w:rPr>
              <w:t xml:space="preserve">Total: </w:t>
            </w:r>
            <w:r w:rsidR="00D97014" w:rsidRPr="004B7F31">
              <w:rPr>
                <w:b/>
                <w:color w:val="5B9BD5" w:themeColor="accent1"/>
              </w:rPr>
              <w:t>£2243</w:t>
            </w:r>
          </w:p>
        </w:tc>
        <w:tc>
          <w:tcPr>
            <w:tcW w:w="3307" w:type="dxa"/>
          </w:tcPr>
          <w:p w:rsidR="009D3378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lastRenderedPageBreak/>
              <w:t xml:space="preserve">School football club ran throughout the year. </w:t>
            </w: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First phase of the activity area developed and implemented on the school playground. Used at lunchtimes and for school sports </w:t>
            </w:r>
            <w:r>
              <w:rPr>
                <w:rFonts w:asciiTheme="minorHAnsi" w:hAnsiTheme="minorHAnsi"/>
                <w:color w:val="002060"/>
              </w:rPr>
              <w:lastRenderedPageBreak/>
              <w:t>day.</w:t>
            </w: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 variety of sporting activities were offered throughout the year for golden time.</w:t>
            </w: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Default="00B8403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Sports leaders reintroduced in year 6 and have taken a very active role across the whole school year, leading games and activities and assisting at the cross country competition and sports days.</w:t>
            </w:r>
          </w:p>
          <w:p w:rsidR="00E7672F" w:rsidRDefault="00E7672F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B8403A" w:rsidRPr="00CA14AB" w:rsidRDefault="00E7672F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PE coordinator attended a tennis course and received £250 additional tennis equipment for the school. New equipment purchased to ensure lessons could be taught effectively across the school.</w:t>
            </w:r>
          </w:p>
        </w:tc>
        <w:tc>
          <w:tcPr>
            <w:tcW w:w="3134" w:type="dxa"/>
          </w:tcPr>
          <w:p w:rsidR="009D3378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Funding to be put towards a climbing frame in EYFS to ensure they can meet the early development goals. Or timetabled </w:t>
            </w:r>
            <w:r>
              <w:rPr>
                <w:rFonts w:asciiTheme="minorHAnsi" w:hAnsiTheme="minorHAnsi"/>
              </w:rPr>
              <w:lastRenderedPageBreak/>
              <w:t>time on the activity area during the day.</w:t>
            </w: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Continue with sports leaders in year 6. Re-establish a ‘sports council’ so children have a voice to improve sporting opportunities across the school.</w:t>
            </w: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3E3DF5" w:rsidRPr="003E3DF5" w:rsidRDefault="003E3DF5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Audit and continue to monitor sports equipment.</w:t>
            </w:r>
          </w:p>
        </w:tc>
      </w:tr>
    </w:tbl>
    <w:p w:rsidR="009D3378" w:rsidRPr="006F6CA9" w:rsidRDefault="009D3378" w:rsidP="009D3378">
      <w:pPr>
        <w:rPr>
          <w:rFonts w:asciiTheme="minorHAnsi" w:hAnsiTheme="minorHAnsi"/>
          <w:sz w:val="24"/>
        </w:rPr>
        <w:sectPr w:rsidR="009D3378" w:rsidRPr="006F6CA9">
          <w:headerReference w:type="default" r:id="rId6"/>
          <w:pgSz w:w="16840" w:h="11910" w:orient="landscape"/>
          <w:pgMar w:top="420" w:right="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D3378" w:rsidRPr="006F6CA9" w:rsidTr="00803B90">
        <w:trPr>
          <w:trHeight w:val="383"/>
        </w:trPr>
        <w:tc>
          <w:tcPr>
            <w:tcW w:w="12302" w:type="dxa"/>
            <w:gridSpan w:val="4"/>
            <w:vMerge w:val="restart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lastRenderedPageBreak/>
              <w:t xml:space="preserve">Key indicator 3: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4B7F31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40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25252A" w:rsidRPr="006F6CA9" w:rsidRDefault="004B7F31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£6975</w:t>
            </w:r>
          </w:p>
        </w:tc>
      </w:tr>
      <w:tr w:rsidR="009D3378" w:rsidRPr="006F6CA9" w:rsidTr="00803B90">
        <w:trPr>
          <w:trHeight w:val="405"/>
        </w:trPr>
        <w:tc>
          <w:tcPr>
            <w:tcW w:w="3758" w:type="dxa"/>
          </w:tcPr>
          <w:p w:rsidR="009D3378" w:rsidRPr="006F6CA9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Pr="006F6CA9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Pr="006F6CA9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</w:t>
            </w: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next steps:</w:t>
            </w: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9D3378" w:rsidRPr="00BF5DAF" w:rsidRDefault="009D3378" w:rsidP="00803B90">
            <w:pPr>
              <w:pStyle w:val="TableParagraph"/>
              <w:spacing w:line="254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491062">
        <w:trPr>
          <w:trHeight w:val="69"/>
        </w:trPr>
        <w:tc>
          <w:tcPr>
            <w:tcW w:w="3758" w:type="dxa"/>
          </w:tcPr>
          <w:p w:rsidR="009D3378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children to have a clear understanding of learning intentions within a PE lesson.</w:t>
            </w:r>
          </w:p>
          <w:p w:rsidR="003C1B0D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pupils to be able to understand how their skills are progressing with and across school years.</w:t>
            </w:r>
          </w:p>
          <w:p w:rsidR="003C1B0D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children to have opportunities to practice skills and commit them to long term memory across the school year.</w:t>
            </w: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</w:rPr>
              <w:t>SDP: Subject leaders have an effective knowledge of skills progress</w:t>
            </w: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</w:rPr>
              <w:t>SDP: Pupils will have a greater depth of knowledge and skills in subject learning.</w:t>
            </w: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458" w:type="dxa"/>
          </w:tcPr>
          <w:p w:rsidR="00491062" w:rsidRPr="003C5E7A" w:rsidRDefault="00491062" w:rsidP="00491062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C5E7A">
              <w:rPr>
                <w:rFonts w:asciiTheme="minorHAnsi" w:hAnsiTheme="minorHAnsi" w:cstheme="minorHAnsi"/>
                <w:color w:val="2E74B5" w:themeColor="accent1" w:themeShade="BF"/>
              </w:rPr>
              <w:t xml:space="preserve">Staff to take part in CPD led by </w:t>
            </w:r>
            <w:r w:rsidR="007B7FF6" w:rsidRPr="003C5E7A">
              <w:rPr>
                <w:rFonts w:asciiTheme="minorHAnsi" w:hAnsiTheme="minorHAnsi" w:cstheme="minorHAnsi"/>
                <w:color w:val="2E74B5" w:themeColor="accent1" w:themeShade="BF"/>
              </w:rPr>
              <w:t xml:space="preserve">King Alfred’s </w:t>
            </w:r>
            <w:r w:rsidRPr="003C5E7A">
              <w:rPr>
                <w:rFonts w:asciiTheme="minorHAnsi" w:hAnsiTheme="minorHAnsi" w:cstheme="minorHAnsi"/>
                <w:color w:val="2E74B5" w:themeColor="accent1" w:themeShade="BF"/>
              </w:rPr>
              <w:t>PE specialist. Monday PM for the whole school year across all classes. A whole school learning focus on keeping children continuously active to make use of the PE time available in school</w:t>
            </w:r>
            <w:r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  <w:p w:rsidR="007B7FF6" w:rsidRPr="003C5E7A" w:rsidRDefault="007B7FF6" w:rsidP="007B7FF6">
            <w:pPr>
              <w:rPr>
                <w:rFonts w:cs="Times New Roman"/>
                <w:color w:val="2E74B5" w:themeColor="accent1" w:themeShade="BF"/>
                <w:szCs w:val="20"/>
              </w:rPr>
            </w:pPr>
          </w:p>
          <w:p w:rsidR="00491062" w:rsidRPr="003C5E7A" w:rsidRDefault="00491062" w:rsidP="007B7FF6">
            <w:pPr>
              <w:rPr>
                <w:rFonts w:cs="Times New Roman"/>
                <w:color w:val="2E74B5" w:themeColor="accent1" w:themeShade="BF"/>
                <w:szCs w:val="20"/>
              </w:rPr>
            </w:pPr>
            <w:r w:rsidRPr="003C5E7A">
              <w:rPr>
                <w:rFonts w:cs="Times New Roman"/>
                <w:color w:val="2E74B5" w:themeColor="accent1" w:themeShade="BF"/>
                <w:szCs w:val="20"/>
              </w:rPr>
              <w:t>Purchase Chris Quigley curriculum companion to support staff and PE coordinator to develop a clear skill progression across the school.</w:t>
            </w:r>
          </w:p>
          <w:p w:rsidR="00041DCF" w:rsidRPr="003C5E7A" w:rsidRDefault="00041DCF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</w:p>
          <w:p w:rsidR="008A4349" w:rsidRPr="003C5E7A" w:rsidRDefault="00491062" w:rsidP="007B7FF6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PE co-ordinator to work with staff to remap the PE curriculum across the school and ensure children are accessing a variety of sporting curriculum opportunities.</w:t>
            </w:r>
          </w:p>
          <w:p w:rsidR="00491062" w:rsidRPr="003C5E7A" w:rsidRDefault="00491062" w:rsidP="007B7FF6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491062" w:rsidRPr="003C5E7A" w:rsidRDefault="00491062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</w:p>
          <w:p w:rsidR="00041DCF" w:rsidRDefault="008A4349" w:rsidP="00C90B8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Sensory circuits</w:t>
            </w:r>
            <w:r w:rsidR="00491062"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training to happen for TAs in KS1 and KS2 led by </w:t>
            </w:r>
            <w:proofErr w:type="spellStart"/>
            <w:r w:rsidR="00491062"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SENCo</w:t>
            </w:r>
            <w:proofErr w:type="spellEnd"/>
            <w:r w:rsidR="00C90B84"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  <w:p w:rsidR="000674B9" w:rsidRPr="003C5E7A" w:rsidRDefault="000674B9" w:rsidP="00C90B8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337680" w:rsidRPr="003C5E7A" w:rsidRDefault="00337680" w:rsidP="00C90B8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Training for all teaching staff to </w:t>
            </w:r>
            <w:r w:rsidRPr="003C5E7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lastRenderedPageBreak/>
              <w:t>support the teaching of swimming across the school. 7 x £40 qualifications.</w:t>
            </w:r>
          </w:p>
        </w:tc>
        <w:tc>
          <w:tcPr>
            <w:tcW w:w="1663" w:type="dxa"/>
          </w:tcPr>
          <w:p w:rsidR="009D3378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lastRenderedPageBreak/>
              <w:t>Total: £6500</w:t>
            </w: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£195</w:t>
            </w: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N/A</w:t>
            </w: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N/A</w:t>
            </w:r>
          </w:p>
          <w:p w:rsidR="00337680" w:rsidRDefault="0033768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Pr="003C5E7A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337680" w:rsidRPr="003C5E7A" w:rsidRDefault="0033768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lastRenderedPageBreak/>
              <w:t>Total: £280</w:t>
            </w:r>
          </w:p>
        </w:tc>
        <w:tc>
          <w:tcPr>
            <w:tcW w:w="3423" w:type="dxa"/>
          </w:tcPr>
          <w:p w:rsidR="009D3378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lastRenderedPageBreak/>
              <w:t>Upper key stage 2 teachers are more confident leading dance units to their respective classes.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Ultimate Frisbee has been taught and introduced as a sequence of lessons which can be taught to secure throwing and aiming skills.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CQ folder purchased and coordinator has explored ways to implement this across the curriculum. Long term over view has been created and policy updated in line with research reviews.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Sensory circuits took place in KS1 to support vulnerable children at the beginning of the day.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9F0EA4" w:rsidRPr="009F0EA4" w:rsidRDefault="009F0EA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lastRenderedPageBreak/>
              <w:t>Children in KS2 all attended swimming sessions this year and qualified staff are able to attend with future classes.</w:t>
            </w:r>
          </w:p>
        </w:tc>
        <w:tc>
          <w:tcPr>
            <w:tcW w:w="3076" w:type="dxa"/>
          </w:tcPr>
          <w:p w:rsidR="009D3378" w:rsidRP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9F0EA4">
              <w:rPr>
                <w:rFonts w:asciiTheme="minorHAnsi" w:hAnsiTheme="minorHAnsi"/>
              </w:rPr>
              <w:lastRenderedPageBreak/>
              <w:t>Continue to work alongside KAs next year to support staff to adapt their sequences to a skills based practise.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9F0EA4">
              <w:rPr>
                <w:rFonts w:asciiTheme="minorHAnsi" w:hAnsiTheme="minorHAnsi"/>
              </w:rPr>
              <w:t>Ensure new members of staff are supported by the trained member of staff by team teaching alongside him.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meeting to introduce the new pedagogy and rationale for the teaching and sequencing of PE across the school.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 training across the school to implement this across KS1 and KS2 to support the fundamental movements skills and movement development of children within the school.</w:t>
            </w:r>
          </w:p>
          <w:p w:rsidR="009F0EA4" w:rsidRDefault="009F0EA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Years 3, 4 and 5 are all swimming again next year.</w:t>
            </w:r>
          </w:p>
          <w:p w:rsidR="009F0EA4" w:rsidRPr="006F6CA9" w:rsidRDefault="009F0EA4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Money will be allocated in year 6 and 5 to take any children at risk of not meeting national curriculum expectations in the summer term.</w:t>
            </w:r>
          </w:p>
        </w:tc>
      </w:tr>
      <w:tr w:rsidR="009D3378" w:rsidRPr="006F6CA9" w:rsidTr="00803B90">
        <w:trPr>
          <w:trHeight w:val="305"/>
        </w:trPr>
        <w:tc>
          <w:tcPr>
            <w:tcW w:w="12302" w:type="dxa"/>
            <w:gridSpan w:val="4"/>
            <w:vMerge w:val="restart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lastRenderedPageBreak/>
              <w:t xml:space="preserve">Key indicator 4: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B72AA0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0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B72AA0" w:rsidRPr="006F6CA9" w:rsidRDefault="00B72AA0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£0</w:t>
            </w:r>
          </w:p>
        </w:tc>
      </w:tr>
      <w:tr w:rsidR="009D3378" w:rsidRPr="006F6CA9" w:rsidTr="00803B90">
        <w:trPr>
          <w:trHeight w:val="397"/>
        </w:trPr>
        <w:tc>
          <w:tcPr>
            <w:tcW w:w="3758" w:type="dxa"/>
          </w:tcPr>
          <w:p w:rsidR="009D3378" w:rsidRPr="006F6CA9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Pr="006F6CA9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Pr="006F6CA9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Sustainability and suggested</w:t>
            </w:r>
          </w:p>
        </w:tc>
      </w:tr>
      <w:tr w:rsidR="009D3378" w:rsidRPr="006F6CA9" w:rsidTr="00803B90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next steps:</w:t>
            </w:r>
          </w:p>
        </w:tc>
      </w:tr>
      <w:tr w:rsidR="009D3378" w:rsidRPr="006F6CA9" w:rsidTr="00803B90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spacing w:line="254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172"/>
        </w:trPr>
        <w:tc>
          <w:tcPr>
            <w:tcW w:w="3758" w:type="dxa"/>
          </w:tcPr>
          <w:p w:rsidR="00C04458" w:rsidRPr="003C5E7A" w:rsidRDefault="00C0445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All children at </w:t>
            </w:r>
            <w:proofErr w:type="spellStart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Stockham</w:t>
            </w:r>
            <w:proofErr w:type="spellEnd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 to have the opportunities to take part in a variety of sporting clubs and activities across the school year.</w:t>
            </w:r>
          </w:p>
          <w:p w:rsidR="009D3378" w:rsidRPr="003C5E7A" w:rsidRDefault="0049106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 minimum of 75% of the least active population across the school to have taken part in</w:t>
            </w:r>
            <w:r w:rsidR="00AE2F72"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.</w:t>
            </w:r>
          </w:p>
          <w:p w:rsidR="00AE2F72" w:rsidRPr="003C5E7A" w:rsidRDefault="00AE2F7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At least 75% of year 3 and 4 to have taken part in an additional school club (identified as less active classes across Oxfordshire).</w:t>
            </w:r>
          </w:p>
          <w:p w:rsidR="00AE2F72" w:rsidRPr="003C5E7A" w:rsidRDefault="00AE2F7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7C642F" w:rsidRPr="003C5E7A" w:rsidRDefault="007C642F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SDP: Pupils have access to a wide range of opportunities and a rich set of experiences</w:t>
            </w:r>
          </w:p>
        </w:tc>
        <w:tc>
          <w:tcPr>
            <w:tcW w:w="3458" w:type="dxa"/>
          </w:tcPr>
          <w:p w:rsidR="00B256EF" w:rsidRPr="003C5E7A" w:rsidRDefault="001501F6" w:rsidP="00C04458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All classes to attend swimming lessons across the school year. Beginning with year 6. Additional ‘catc</w:t>
            </w:r>
            <w:r w:rsidR="00C04458"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h</w:t>
            </w: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 up’ sessions to be held for identified non swimming year 6 children in Term 6.</w:t>
            </w:r>
          </w:p>
          <w:p w:rsidR="00D97014" w:rsidRPr="003C5E7A" w:rsidRDefault="00D97014" w:rsidP="00C04458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D97014" w:rsidRDefault="00D97014" w:rsidP="00C04458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School to take part in a charity fitness event with a focus on aspirations and sport for healthy active lifestyles.</w:t>
            </w:r>
          </w:p>
          <w:p w:rsidR="000674B9" w:rsidRDefault="000674B9" w:rsidP="00C04458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74B9" w:rsidRPr="003C5E7A" w:rsidRDefault="000674B9" w:rsidP="00C04458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4"/>
              </w:rPr>
              <w:t>Sensory groups for Key stage 1 and 2 Terms 5 and 6 (12 sessions)</w:t>
            </w:r>
          </w:p>
        </w:tc>
        <w:tc>
          <w:tcPr>
            <w:tcW w:w="1663" w:type="dxa"/>
          </w:tcPr>
          <w:p w:rsidR="009D3378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N/A</w:t>
            </w: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N/A</w:t>
            </w:r>
          </w:p>
          <w:p w:rsidR="000674B9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Pr="003C5E7A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£660</w:t>
            </w:r>
          </w:p>
          <w:p w:rsidR="00B72AA0" w:rsidRPr="003C5E7A" w:rsidRDefault="00B72AA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</w:tc>
        <w:tc>
          <w:tcPr>
            <w:tcW w:w="3423" w:type="dxa"/>
          </w:tcPr>
          <w:p w:rsidR="009D3378" w:rsidRDefault="00A46616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Children in KS2 all attended swimming sessions this year and qualified staff are able to attend with future classes.</w:t>
            </w:r>
          </w:p>
          <w:p w:rsidR="00A46616" w:rsidRDefault="00A46616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A46616" w:rsidRDefault="00A46616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The school raised over £1000 for the sporting charity and purchased new equipment for active lunchtimes with the money raised. The sporting role model was a wheelchair user raising awareness of Paralympic sports and tying in with our aspirations driver.</w:t>
            </w:r>
          </w:p>
          <w:p w:rsidR="00177A8E" w:rsidRDefault="00177A8E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177A8E" w:rsidRPr="00A46616" w:rsidRDefault="00177A8E" w:rsidP="00803B90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color w:val="002060"/>
              </w:rPr>
              <w:t>Sporting clubs this year have included: tennis, dodgeball, fencing, martial arts and football.</w:t>
            </w:r>
          </w:p>
        </w:tc>
        <w:tc>
          <w:tcPr>
            <w:tcW w:w="3076" w:type="dxa"/>
          </w:tcPr>
          <w:p w:rsidR="00A46616" w:rsidRDefault="00A46616" w:rsidP="00A46616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Years 3, 4 and 5 are all swimming again next year.</w:t>
            </w:r>
          </w:p>
          <w:p w:rsidR="009D3378" w:rsidRDefault="00A46616" w:rsidP="00A46616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Money will be allocated in year 6 and 5 to take any children at risk of not meeting national curriculum expectations in the summer term.</w:t>
            </w:r>
          </w:p>
          <w:p w:rsidR="00177A8E" w:rsidRDefault="00177A8E" w:rsidP="00A46616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177A8E" w:rsidRDefault="00177A8E" w:rsidP="00A46616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More of a focus next year on mass participation and encouraging as many children as possible to attend a sporting club.</w:t>
            </w:r>
          </w:p>
          <w:p w:rsidR="00177A8E" w:rsidRPr="006F6CA9" w:rsidRDefault="00177A8E" w:rsidP="00A46616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Increase the sporting clubs on offer (to pre-pandemic times) beginning with the reintroduction of a gymnastics and netball club.</w:t>
            </w:r>
          </w:p>
        </w:tc>
      </w:tr>
    </w:tbl>
    <w:p w:rsidR="009D3378" w:rsidRDefault="009D3378" w:rsidP="009D3378">
      <w:pPr>
        <w:rPr>
          <w:rFonts w:ascii="Times New Roman"/>
          <w:sz w:val="24"/>
        </w:rPr>
        <w:sectPr w:rsidR="009D3378"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W w:w="15378" w:type="dxa"/>
        <w:tblInd w:w="-7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D3378" w:rsidTr="009D3378">
        <w:trPr>
          <w:trHeight w:val="352"/>
        </w:trPr>
        <w:tc>
          <w:tcPr>
            <w:tcW w:w="12302" w:type="dxa"/>
            <w:gridSpan w:val="4"/>
            <w:vMerge w:val="restart"/>
          </w:tcPr>
          <w:p w:rsidR="009D3378" w:rsidRDefault="009D3378" w:rsidP="00803B9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F26522"/>
                <w:sz w:val="24"/>
              </w:rPr>
              <w:lastRenderedPageBreak/>
              <w:t xml:space="preserve">Key indicator 5: </w:t>
            </w:r>
            <w:r>
              <w:rPr>
                <w:color w:val="F26522"/>
                <w:sz w:val="24"/>
              </w:rPr>
              <w:t>Increased participation in competitive sport</w:t>
            </w:r>
            <w:r w:rsidR="00121E43">
              <w:rPr>
                <w:color w:val="F26522"/>
                <w:sz w:val="24"/>
              </w:rPr>
              <w:t xml:space="preserve"> (mass participation):</w:t>
            </w:r>
          </w:p>
        </w:tc>
        <w:tc>
          <w:tcPr>
            <w:tcW w:w="3076" w:type="dxa"/>
          </w:tcPr>
          <w:p w:rsidR="009D3378" w:rsidRDefault="009D3378" w:rsidP="00803B9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9D3378" w:rsidTr="009D3378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Default="009D3378" w:rsidP="00803B9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337680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7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0358D9" w:rsidRPr="006F6CA9" w:rsidRDefault="000358D9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£1350</w:t>
            </w:r>
          </w:p>
        </w:tc>
      </w:tr>
      <w:tr w:rsidR="009D3378" w:rsidTr="009D3378">
        <w:trPr>
          <w:trHeight w:val="402"/>
        </w:trPr>
        <w:tc>
          <w:tcPr>
            <w:tcW w:w="3758" w:type="dxa"/>
          </w:tcPr>
          <w:p w:rsidR="009D3378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Sustainability and suggested</w:t>
            </w:r>
          </w:p>
        </w:tc>
      </w:tr>
      <w:tr w:rsidR="009D3378" w:rsidTr="009D337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next steps:</w:t>
            </w:r>
          </w:p>
        </w:tc>
      </w:tr>
      <w:tr w:rsidR="009D3378" w:rsidTr="009D337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spacing w:line="254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134"/>
        </w:trPr>
        <w:tc>
          <w:tcPr>
            <w:tcW w:w="3758" w:type="dxa"/>
          </w:tcPr>
          <w:p w:rsidR="009D3378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All children to have taken part in a intra 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As many children as possible to have taken part in an inter school competition In key stage 2.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60% of SEN and pupil premium children identified to take part in an interschool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50% of least active pupils to have taken part in an inter 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3458" w:type="dxa"/>
          </w:tcPr>
          <w:p w:rsidR="007B7FF6" w:rsidRPr="003C5E7A" w:rsidRDefault="007B7FF6" w:rsidP="007B7FF6">
            <w:pPr>
              <w:rPr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color w:val="2E74B5" w:themeColor="accent1" w:themeShade="BF"/>
                <w:sz w:val="20"/>
                <w:szCs w:val="20"/>
              </w:rPr>
              <w:t>Tennis festival - summer term – whole school tennis festival (intra school competition) run by the local ten</w:t>
            </w:r>
            <w:r w:rsidR="000358D9" w:rsidRPr="003C5E7A">
              <w:rPr>
                <w:color w:val="2E74B5" w:themeColor="accent1" w:themeShade="BF"/>
                <w:sz w:val="20"/>
                <w:szCs w:val="20"/>
              </w:rPr>
              <w:t>nis club encouraging club links.</w:t>
            </w:r>
          </w:p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School to buy into level one sports partnership competitions.</w:t>
            </w:r>
          </w:p>
          <w:p w:rsidR="00B256EF" w:rsidRPr="003C5E7A" w:rsidRDefault="00B256EF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</w:p>
          <w:p w:rsidR="00B256EF" w:rsidRPr="003C5E7A" w:rsidRDefault="00B256EF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rFonts w:cs="Times New Roman"/>
                <w:color w:val="2E74B5" w:themeColor="accent1" w:themeShade="BF"/>
                <w:sz w:val="20"/>
                <w:szCs w:val="20"/>
              </w:rPr>
              <w:t xml:space="preserve">Attend competitions held by school games organisers both at a level 1 and 2 level. </w:t>
            </w:r>
            <w:proofErr w:type="spellStart"/>
            <w:r w:rsidRPr="003C5E7A">
              <w:rPr>
                <w:rFonts w:cs="Times New Roman"/>
                <w:color w:val="2E74B5" w:themeColor="accent1" w:themeShade="BF"/>
                <w:sz w:val="20"/>
                <w:szCs w:val="20"/>
              </w:rPr>
              <w:t>Boccia</w:t>
            </w:r>
            <w:proofErr w:type="spellEnd"/>
            <w:r w:rsidRPr="003C5E7A">
              <w:rPr>
                <w:rFonts w:cs="Times New Roman"/>
                <w:color w:val="2E74B5" w:themeColor="accent1" w:themeShade="BF"/>
                <w:sz w:val="20"/>
                <w:szCs w:val="20"/>
              </w:rPr>
              <w:t>, quad kids, archery, cross county, netball, football and tag rugby.</w:t>
            </w:r>
          </w:p>
          <w:p w:rsidR="007B7FF6" w:rsidRPr="003C5E7A" w:rsidRDefault="007B7FF6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1663" w:type="dxa"/>
          </w:tcPr>
          <w:p w:rsidR="009D3378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£350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£1000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N/A</w:t>
            </w:r>
          </w:p>
        </w:tc>
        <w:tc>
          <w:tcPr>
            <w:tcW w:w="3423" w:type="dxa"/>
          </w:tcPr>
          <w:p w:rsidR="009D3378" w:rsidRDefault="00824E7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 w:rsidRPr="00824E74">
              <w:rPr>
                <w:rFonts w:asciiTheme="minorHAnsi" w:hAnsiTheme="minorHAnsi"/>
                <w:color w:val="002060"/>
              </w:rPr>
              <w:t>All children in the school</w:t>
            </w:r>
            <w:r>
              <w:rPr>
                <w:rFonts w:asciiTheme="minorHAnsi" w:hAnsiTheme="minorHAnsi"/>
                <w:color w:val="002060"/>
              </w:rPr>
              <w:t xml:space="preserve"> took part in the local tennis festival and received an invitation to attend a fun day at the local </w:t>
            </w:r>
            <w:proofErr w:type="spellStart"/>
            <w:r>
              <w:rPr>
                <w:rFonts w:asciiTheme="minorHAnsi" w:hAnsiTheme="minorHAnsi"/>
                <w:color w:val="002060"/>
              </w:rPr>
              <w:t>Wantage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club.</w:t>
            </w:r>
          </w:p>
          <w:p w:rsidR="00824E74" w:rsidRDefault="00824E74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824E74" w:rsidRPr="006F6CA9" w:rsidRDefault="00824E74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2060"/>
              </w:rPr>
              <w:t>Stockham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attended, tag rugby, cross country, </w:t>
            </w:r>
            <w:proofErr w:type="spellStart"/>
            <w:r>
              <w:rPr>
                <w:rFonts w:asciiTheme="minorHAnsi" w:hAnsiTheme="minorHAnsi"/>
                <w:color w:val="002060"/>
              </w:rPr>
              <w:t>rounders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, cricket, netball, swimming, </w:t>
            </w:r>
            <w:proofErr w:type="spellStart"/>
            <w:r>
              <w:rPr>
                <w:rFonts w:asciiTheme="minorHAnsi" w:hAnsiTheme="minorHAnsi"/>
                <w:color w:val="002060"/>
              </w:rPr>
              <w:t>boccia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and quad kids competitions across various classes in KS2 and had varying levels of success.</w:t>
            </w:r>
          </w:p>
        </w:tc>
        <w:tc>
          <w:tcPr>
            <w:tcW w:w="3076" w:type="dxa"/>
          </w:tcPr>
          <w:p w:rsidR="009D3378" w:rsidRDefault="00824E7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24E74">
              <w:rPr>
                <w:rFonts w:asciiTheme="minorHAnsi" w:hAnsiTheme="minorHAnsi"/>
              </w:rPr>
              <w:t>Hold another festival next year continue the link with the local club.</w:t>
            </w:r>
          </w:p>
          <w:p w:rsidR="00824E74" w:rsidRDefault="00824E74" w:rsidP="00803B90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:rsidR="00824E74" w:rsidRPr="006F6CA9" w:rsidRDefault="00824E74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Attend both local sporting competition partnerships next year to experience new and varying competitions (dodgeball handball) etc. Also to ensure more children have a chance to attend competitions – mass participation registers kept.</w:t>
            </w:r>
          </w:p>
        </w:tc>
      </w:tr>
    </w:tbl>
    <w:p w:rsidR="009D3378" w:rsidRDefault="009D3378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75"/>
        <w:tblW w:w="15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3"/>
        <w:gridCol w:w="3777"/>
      </w:tblGrid>
      <w:tr w:rsidR="009D3378" w:rsidRPr="006F6CA9" w:rsidTr="009D3378">
        <w:trPr>
          <w:trHeight w:val="405"/>
        </w:trPr>
        <w:tc>
          <w:tcPr>
            <w:tcW w:w="11603" w:type="dxa"/>
          </w:tcPr>
          <w:p w:rsidR="009D3378" w:rsidRPr="001501F6" w:rsidRDefault="009D3378" w:rsidP="009D3378">
            <w:pPr>
              <w:pStyle w:val="TableParagraph"/>
              <w:spacing w:before="17"/>
              <w:rPr>
                <w:rFonts w:asciiTheme="minorHAnsi" w:hAnsiTheme="minorHAnsi"/>
                <w:b/>
                <w:sz w:val="18"/>
              </w:rPr>
            </w:pPr>
            <w:r w:rsidRPr="001501F6">
              <w:rPr>
                <w:rFonts w:asciiTheme="minorHAnsi" w:hAnsiTheme="minorHAnsi"/>
                <w:b/>
                <w:color w:val="231F20"/>
                <w:sz w:val="18"/>
              </w:rPr>
              <w:lastRenderedPageBreak/>
              <w:t>Meeting national curriculum requirements for swimming and water safety.</w:t>
            </w:r>
          </w:p>
        </w:tc>
        <w:tc>
          <w:tcPr>
            <w:tcW w:w="3777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6813">
        <w:trPr>
          <w:trHeight w:val="838"/>
        </w:trPr>
        <w:tc>
          <w:tcPr>
            <w:tcW w:w="11603" w:type="dxa"/>
          </w:tcPr>
          <w:p w:rsidR="009D3378" w:rsidRPr="00BF6813" w:rsidRDefault="009D3378" w:rsidP="009D3378">
            <w:pPr>
              <w:pStyle w:val="TableParagraph"/>
              <w:spacing w:before="22" w:line="235" w:lineRule="auto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percentage of your current</w:t>
            </w:r>
            <w:r w:rsidRPr="00BF6813">
              <w:rPr>
                <w:rFonts w:asciiTheme="minorHAnsi" w:hAnsiTheme="minorHAnsi"/>
                <w:color w:val="231F20"/>
                <w:spacing w:val="-5"/>
                <w:sz w:val="18"/>
              </w:rPr>
              <w:t xml:space="preserve"> Year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6 cohort swim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competently,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confidently and proficiently over a distance of at least 25 metres?</w:t>
            </w:r>
          </w:p>
          <w:p w:rsidR="009D3378" w:rsidRPr="00BF6813" w:rsidRDefault="009D3378" w:rsidP="001501F6">
            <w:pPr>
              <w:pStyle w:val="TableParagraph"/>
              <w:spacing w:line="312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b/>
                <w:color w:val="231F20"/>
                <w:sz w:val="18"/>
              </w:rPr>
              <w:t xml:space="preserve">N.B.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Even though your pupils may swim in another year please report on their attainment on leaving</w:t>
            </w:r>
            <w:r w:rsidR="001501F6">
              <w:rPr>
                <w:rFonts w:asciiTheme="minorHAnsi" w:hAnsiTheme="minorHAnsi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primary school at the end of the summer term 2020.</w:t>
            </w:r>
          </w:p>
        </w:tc>
        <w:tc>
          <w:tcPr>
            <w:tcW w:w="3777" w:type="dxa"/>
          </w:tcPr>
          <w:p w:rsidR="009D3378" w:rsidRPr="006F6CA9" w:rsidRDefault="008047EA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color w:val="231F20"/>
                <w:sz w:val="26"/>
              </w:rPr>
              <w:t>66.6</w:t>
            </w:r>
            <w:r w:rsidR="009D3378" w:rsidRPr="006F6CA9">
              <w:rPr>
                <w:rFonts w:asciiTheme="minorHAnsi" w:hAnsiTheme="minorHAnsi"/>
                <w:color w:val="231F20"/>
                <w:sz w:val="26"/>
              </w:rPr>
              <w:t>%</w:t>
            </w:r>
          </w:p>
        </w:tc>
      </w:tr>
      <w:tr w:rsidR="009D3378" w:rsidRPr="006F6CA9" w:rsidTr="00BF6813">
        <w:trPr>
          <w:trHeight w:val="383"/>
        </w:trPr>
        <w:tc>
          <w:tcPr>
            <w:tcW w:w="11603" w:type="dxa"/>
          </w:tcPr>
          <w:p w:rsidR="009D3378" w:rsidRPr="00BF6813" w:rsidRDefault="009D3378" w:rsidP="009D3378">
            <w:pPr>
              <w:pStyle w:val="TableParagraph"/>
              <w:spacing w:before="22" w:line="235" w:lineRule="auto"/>
              <w:ind w:right="261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What percentage of your current </w:t>
            </w:r>
            <w:r w:rsidRPr="00BF6813">
              <w:rPr>
                <w:rFonts w:asciiTheme="minorHAnsi" w:hAnsiTheme="minorHAnsi"/>
                <w:color w:val="231F20"/>
                <w:spacing w:val="-5"/>
                <w:sz w:val="18"/>
              </w:rPr>
              <w:t xml:space="preserve">Year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6 cohort use a range of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strokes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effectively [for example, front crawl,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backstroke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and breaststroke]?</w:t>
            </w:r>
          </w:p>
        </w:tc>
        <w:tc>
          <w:tcPr>
            <w:tcW w:w="3777" w:type="dxa"/>
          </w:tcPr>
          <w:p w:rsidR="009D3378" w:rsidRPr="006F6CA9" w:rsidRDefault="008047EA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color w:val="231F20"/>
                <w:sz w:val="26"/>
              </w:rPr>
              <w:t>66.6</w:t>
            </w:r>
            <w:r w:rsidR="009D3378" w:rsidRPr="006F6CA9">
              <w:rPr>
                <w:rFonts w:asciiTheme="minorHAnsi" w:hAnsiTheme="minorHAnsi"/>
                <w:color w:val="231F20"/>
                <w:sz w:val="26"/>
              </w:rPr>
              <w:t>%</w:t>
            </w:r>
          </w:p>
        </w:tc>
      </w:tr>
      <w:tr w:rsidR="009D3378" w:rsidRPr="006F6CA9" w:rsidTr="00BF6813">
        <w:trPr>
          <w:trHeight w:val="406"/>
        </w:trPr>
        <w:tc>
          <w:tcPr>
            <w:tcW w:w="11603" w:type="dxa"/>
          </w:tcPr>
          <w:p w:rsidR="009D3378" w:rsidRPr="00BF6813" w:rsidRDefault="009D3378" w:rsidP="009D3378">
            <w:pPr>
              <w:pStyle w:val="TableParagraph"/>
              <w:spacing w:before="17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percentage of your current Year 6 cohort perform safe self-rescue in different water-based situations?</w:t>
            </w:r>
          </w:p>
        </w:tc>
        <w:tc>
          <w:tcPr>
            <w:tcW w:w="3777" w:type="dxa"/>
          </w:tcPr>
          <w:p w:rsidR="009D3378" w:rsidRPr="006F6CA9" w:rsidRDefault="008047EA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color w:val="231F20"/>
                <w:sz w:val="26"/>
              </w:rPr>
              <w:t>30</w:t>
            </w:r>
            <w:r w:rsidR="009D3378" w:rsidRPr="006F6CA9">
              <w:rPr>
                <w:rFonts w:asciiTheme="minorHAnsi" w:hAnsiTheme="minorHAnsi"/>
                <w:color w:val="231F20"/>
                <w:sz w:val="26"/>
              </w:rPr>
              <w:t>%</w:t>
            </w:r>
          </w:p>
        </w:tc>
      </w:tr>
      <w:tr w:rsidR="009D3378" w:rsidRPr="006F6CA9" w:rsidTr="00BF6813">
        <w:trPr>
          <w:trHeight w:val="548"/>
        </w:trPr>
        <w:tc>
          <w:tcPr>
            <w:tcW w:w="11603" w:type="dxa"/>
          </w:tcPr>
          <w:p w:rsidR="009D3378" w:rsidRPr="00BF6813" w:rsidRDefault="009D3378" w:rsidP="009D3378">
            <w:pPr>
              <w:pStyle w:val="TableParagraph"/>
              <w:spacing w:before="22" w:line="235" w:lineRule="auto"/>
              <w:ind w:right="216"/>
              <w:jc w:val="both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Schools</w:t>
            </w:r>
            <w:r w:rsidRPr="00BF6813">
              <w:rPr>
                <w:rFonts w:asciiTheme="minorHAnsi" w:hAnsiTheme="minorHAnsi"/>
                <w:color w:val="231F20"/>
                <w:spacing w:val="-4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can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choose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to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use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the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Primary</w:t>
            </w:r>
            <w:r w:rsidRPr="00BF6813">
              <w:rPr>
                <w:rFonts w:asciiTheme="minorHAnsi" w:hAnsiTheme="minorHAnsi"/>
                <w:color w:val="231F20"/>
                <w:spacing w:val="-2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PE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and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Sport</w:t>
            </w:r>
            <w:r w:rsidRPr="00BF6813">
              <w:rPr>
                <w:rFonts w:asciiTheme="minorHAnsi" w:hAnsiTheme="minorHAnsi"/>
                <w:color w:val="231F20"/>
                <w:spacing w:val="-4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Premium</w:t>
            </w:r>
            <w:r w:rsidRPr="00BF6813">
              <w:rPr>
                <w:rFonts w:asciiTheme="minorHAnsi" w:hAnsiTheme="minorHAnsi"/>
                <w:color w:val="231F20"/>
                <w:spacing w:val="-2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to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provide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additional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>provision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 for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swimming but this must be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for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activity </w:t>
            </w:r>
            <w:r w:rsidRPr="00BF6813">
              <w:rPr>
                <w:rFonts w:asciiTheme="minorHAnsi" w:hAnsiTheme="minorHAnsi"/>
                <w:b/>
                <w:color w:val="231F20"/>
                <w:sz w:val="18"/>
              </w:rPr>
              <w:t xml:space="preserve">over and above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the national curriculum requirements.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 xml:space="preserve">Have </w:t>
            </w:r>
            <w:r w:rsidRPr="00BF6813">
              <w:rPr>
                <w:rFonts w:asciiTheme="minorHAnsi" w:hAnsiTheme="minorHAnsi"/>
                <w:color w:val="231F20"/>
                <w:sz w:val="18"/>
              </w:rPr>
              <w:t xml:space="preserve">you used it in this </w:t>
            </w:r>
            <w:r w:rsidRPr="00BF6813">
              <w:rPr>
                <w:rFonts w:asciiTheme="minorHAnsi" w:hAnsiTheme="minorHAnsi"/>
                <w:color w:val="231F20"/>
                <w:spacing w:val="-3"/>
                <w:sz w:val="18"/>
              </w:rPr>
              <w:t>way?</w:t>
            </w:r>
          </w:p>
        </w:tc>
        <w:tc>
          <w:tcPr>
            <w:tcW w:w="3777" w:type="dxa"/>
          </w:tcPr>
          <w:p w:rsidR="009D3378" w:rsidRPr="006F6CA9" w:rsidRDefault="009D3378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 w:rsidRPr="006F6CA9">
              <w:rPr>
                <w:rFonts w:asciiTheme="minorHAnsi" w:hAnsiTheme="minorHAnsi"/>
                <w:color w:val="231F20"/>
                <w:sz w:val="26"/>
              </w:rPr>
              <w:t>No</w:t>
            </w:r>
          </w:p>
        </w:tc>
      </w:tr>
    </w:tbl>
    <w:p w:rsidR="009D3378" w:rsidRDefault="009D3378" w:rsidP="009D3378">
      <w:pPr>
        <w:pStyle w:val="BodyText"/>
        <w:rPr>
          <w:rFonts w:ascii="Times New Roman"/>
          <w:sz w:val="20"/>
        </w:rPr>
      </w:pPr>
    </w:p>
    <w:p w:rsidR="009D3378" w:rsidRDefault="009D3378" w:rsidP="009D3378">
      <w:pPr>
        <w:pStyle w:val="BodyText"/>
        <w:rPr>
          <w:rFonts w:ascii="Times New Roman"/>
          <w:sz w:val="20"/>
        </w:rPr>
      </w:pPr>
    </w:p>
    <w:tbl>
      <w:tblPr>
        <w:tblW w:w="15377" w:type="dxa"/>
        <w:tblInd w:w="-7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7"/>
      </w:tblGrid>
      <w:tr w:rsidR="009D3378" w:rsidTr="009D3378">
        <w:trPr>
          <w:trHeight w:val="497"/>
        </w:trPr>
        <w:tc>
          <w:tcPr>
            <w:tcW w:w="7700" w:type="dxa"/>
          </w:tcPr>
          <w:p w:rsidR="009D3378" w:rsidRDefault="009D3378" w:rsidP="00803B9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Key achi</w:t>
            </w:r>
            <w:r w:rsidR="00BF6813">
              <w:rPr>
                <w:color w:val="231F20"/>
                <w:sz w:val="24"/>
              </w:rPr>
              <w:t>evements to date until July 2022</w:t>
            </w:r>
            <w:r>
              <w:rPr>
                <w:color w:val="231F20"/>
                <w:sz w:val="24"/>
              </w:rPr>
              <w:t>:</w:t>
            </w:r>
          </w:p>
        </w:tc>
        <w:tc>
          <w:tcPr>
            <w:tcW w:w="7677" w:type="dxa"/>
          </w:tcPr>
          <w:p w:rsidR="009D3378" w:rsidRDefault="009D3378" w:rsidP="00803B9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Areas for further improvement and baseline evidence of need:</w:t>
            </w:r>
          </w:p>
        </w:tc>
      </w:tr>
      <w:tr w:rsidR="009D3378" w:rsidRPr="006F6CA9" w:rsidTr="009D3378">
        <w:trPr>
          <w:trHeight w:val="2551"/>
        </w:trPr>
        <w:tc>
          <w:tcPr>
            <w:tcW w:w="7700" w:type="dxa"/>
          </w:tcPr>
          <w:p w:rsidR="009D3378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Reintroduction of charity events.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Reintroduction of multiple sporting clubs across the school.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Attendance to so many sporting competitions and success when there (2</w:t>
            </w:r>
            <w:r w:rsidRPr="00EF0E6F">
              <w:rPr>
                <w:rFonts w:asciiTheme="minorHAnsi" w:hAnsiTheme="minorHAnsi"/>
                <w:sz w:val="24"/>
                <w:vertAlign w:val="superscript"/>
              </w:rPr>
              <w:t>nd</w:t>
            </w:r>
            <w:r>
              <w:rPr>
                <w:rFonts w:asciiTheme="minorHAnsi" w:hAnsiTheme="minorHAnsi"/>
                <w:sz w:val="24"/>
              </w:rPr>
              <w:t xml:space="preserve"> place – tag rugby, netball. 1</w:t>
            </w:r>
            <w:r w:rsidRPr="00EF0E6F">
              <w:rPr>
                <w:rFonts w:asciiTheme="minorHAnsi" w:hAnsiTheme="minorHAnsi"/>
                <w:sz w:val="24"/>
                <w:vertAlign w:val="superscript"/>
              </w:rPr>
              <w:t>st</w:t>
            </w:r>
            <w:r>
              <w:rPr>
                <w:rFonts w:asciiTheme="minorHAnsi" w:hAnsiTheme="minorHAnsi"/>
                <w:sz w:val="24"/>
              </w:rPr>
              <w:t xml:space="preserve"> place – swimming).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Hosting of sporting competitions – </w:t>
            </w:r>
            <w:proofErr w:type="spellStart"/>
            <w:r>
              <w:rPr>
                <w:rFonts w:asciiTheme="minorHAnsi" w:hAnsiTheme="minorHAnsi"/>
                <w:sz w:val="24"/>
              </w:rPr>
              <w:t>boccia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</w:rPr>
              <w:t>rounders</w:t>
            </w:r>
            <w:proofErr w:type="spellEnd"/>
            <w:r>
              <w:rPr>
                <w:rFonts w:asciiTheme="minorHAnsi" w:hAnsiTheme="minorHAnsi"/>
                <w:sz w:val="24"/>
              </w:rPr>
              <w:t>, cross country.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Children all back attending swimming sessions in KS2.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3C5E7A" w:rsidRPr="006F6CA9" w:rsidRDefault="003C5E7A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7677" w:type="dxa"/>
          </w:tcPr>
          <w:p w:rsidR="009D3378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Registers and monitoring for mass participation but at school clubs and competitions.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Curriculum development for staff and leaders.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EYFS – early development goal improvement.</w:t>
            </w:r>
          </w:p>
          <w:p w:rsidR="00EF0E6F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Additional sessions to target non swimmers.</w:t>
            </w:r>
          </w:p>
          <w:p w:rsidR="00EF0E6F" w:rsidRPr="006F6CA9" w:rsidRDefault="00EF0E6F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Broadening of club opportunities and re-establishing of club links where possible.</w:t>
            </w:r>
          </w:p>
        </w:tc>
      </w:tr>
    </w:tbl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tbl>
      <w:tblPr>
        <w:tblpPr w:leftFromText="180" w:rightFromText="180" w:horzAnchor="page" w:tblpX="745" w:tblpY="283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9D3378" w:rsidTr="009D3378">
        <w:trPr>
          <w:trHeight w:val="463"/>
        </w:trPr>
        <w:tc>
          <w:tcPr>
            <w:tcW w:w="7660" w:type="dxa"/>
            <w:gridSpan w:val="2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Signed off by</w:t>
            </w:r>
          </w:p>
        </w:tc>
      </w:tr>
      <w:tr w:rsidR="009D3378" w:rsidTr="009D3378">
        <w:trPr>
          <w:trHeight w:val="452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 Teacher: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432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461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 Leader: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451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451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451"/>
        </w:trPr>
        <w:tc>
          <w:tcPr>
            <w:tcW w:w="1708" w:type="dxa"/>
          </w:tcPr>
          <w:p w:rsidR="009D3378" w:rsidRDefault="009D3378" w:rsidP="009D3378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DF0604" w:rsidRDefault="00DF0604"/>
    <w:sectPr w:rsidR="00DF0604" w:rsidSect="009D33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19" w:rsidRDefault="00F66F19" w:rsidP="008278DF">
      <w:r>
        <w:separator/>
      </w:r>
    </w:p>
  </w:endnote>
  <w:endnote w:type="continuationSeparator" w:id="0">
    <w:p w:rsidR="00F66F19" w:rsidRDefault="00F66F19" w:rsidP="0082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19" w:rsidRDefault="00F66F19" w:rsidP="008278DF">
      <w:r>
        <w:separator/>
      </w:r>
    </w:p>
  </w:footnote>
  <w:footnote w:type="continuationSeparator" w:id="0">
    <w:p w:rsidR="00F66F19" w:rsidRDefault="00F66F19" w:rsidP="0082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DF" w:rsidRDefault="008278DF" w:rsidP="008278DF">
    <w:pPr>
      <w:jc w:val="center"/>
      <w:rPr>
        <w:b/>
        <w:sz w:val="32"/>
        <w:szCs w:val="32"/>
      </w:rPr>
    </w:pPr>
  </w:p>
  <w:p w:rsidR="008278DF" w:rsidRDefault="008278DF" w:rsidP="008278DF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STOCKHAM</w:t>
    </w:r>
    <w:r w:rsidRPr="0050123C">
      <w:rPr>
        <w:b/>
        <w:sz w:val="32"/>
        <w:szCs w:val="32"/>
      </w:rPr>
      <w:t xml:space="preserve"> PRIMARY SCHOOL</w:t>
    </w:r>
    <w:r>
      <w:rPr>
        <w:b/>
        <w:sz w:val="32"/>
        <w:szCs w:val="32"/>
      </w:rPr>
      <w:t xml:space="preserve"> PE </w:t>
    </w:r>
    <w:r w:rsidR="00105C4C">
      <w:rPr>
        <w:b/>
        <w:sz w:val="32"/>
        <w:szCs w:val="32"/>
      </w:rPr>
      <w:t xml:space="preserve">and PE </w:t>
    </w:r>
    <w:r>
      <w:rPr>
        <w:b/>
        <w:sz w:val="32"/>
        <w:szCs w:val="32"/>
      </w:rPr>
      <w:t>PREMIUM EXPENDITURE 2021/2022</w:t>
    </w:r>
  </w:p>
  <w:p w:rsidR="008278DF" w:rsidRPr="0050123C" w:rsidRDefault="008278DF" w:rsidP="008278DF">
    <w:pPr>
      <w:jc w:val="center"/>
      <w:rPr>
        <w:b/>
        <w:sz w:val="32"/>
        <w:szCs w:val="32"/>
      </w:rPr>
    </w:pPr>
    <w:r>
      <w:rPr>
        <w:b/>
        <w:sz w:val="32"/>
        <w:szCs w:val="32"/>
      </w:rPr>
      <w:t>£16,000 + £10 per head years 1-6 = £17,800</w:t>
    </w:r>
  </w:p>
  <w:p w:rsidR="008278DF" w:rsidRDefault="00827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78"/>
    <w:rsid w:val="000358D9"/>
    <w:rsid w:val="00041DCF"/>
    <w:rsid w:val="000674B9"/>
    <w:rsid w:val="00105C4C"/>
    <w:rsid w:val="00121E43"/>
    <w:rsid w:val="001501F6"/>
    <w:rsid w:val="00177A8E"/>
    <w:rsid w:val="0019656A"/>
    <w:rsid w:val="0025252A"/>
    <w:rsid w:val="002D488D"/>
    <w:rsid w:val="00320F7B"/>
    <w:rsid w:val="00337680"/>
    <w:rsid w:val="003A2A3C"/>
    <w:rsid w:val="003C1B0D"/>
    <w:rsid w:val="003C5E7A"/>
    <w:rsid w:val="003E3DF5"/>
    <w:rsid w:val="004207E5"/>
    <w:rsid w:val="00432920"/>
    <w:rsid w:val="00491062"/>
    <w:rsid w:val="004B7F31"/>
    <w:rsid w:val="00585504"/>
    <w:rsid w:val="007B7FF6"/>
    <w:rsid w:val="007C642F"/>
    <w:rsid w:val="008047EA"/>
    <w:rsid w:val="00824E74"/>
    <w:rsid w:val="008278DF"/>
    <w:rsid w:val="0085516F"/>
    <w:rsid w:val="008756B4"/>
    <w:rsid w:val="00887A32"/>
    <w:rsid w:val="008A4349"/>
    <w:rsid w:val="009134EA"/>
    <w:rsid w:val="009D3378"/>
    <w:rsid w:val="009F0EA4"/>
    <w:rsid w:val="00A46616"/>
    <w:rsid w:val="00AE2F72"/>
    <w:rsid w:val="00AF272E"/>
    <w:rsid w:val="00B256EF"/>
    <w:rsid w:val="00B72AA0"/>
    <w:rsid w:val="00B8403A"/>
    <w:rsid w:val="00BF1113"/>
    <w:rsid w:val="00BF5DAF"/>
    <w:rsid w:val="00BF6813"/>
    <w:rsid w:val="00C04458"/>
    <w:rsid w:val="00C90B84"/>
    <w:rsid w:val="00CA14AB"/>
    <w:rsid w:val="00D97014"/>
    <w:rsid w:val="00DA3000"/>
    <w:rsid w:val="00DF0604"/>
    <w:rsid w:val="00E13CCD"/>
    <w:rsid w:val="00E7672F"/>
    <w:rsid w:val="00EB7CB3"/>
    <w:rsid w:val="00EF0E6F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4DD32-01DB-45E0-87FF-7F27B3D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33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33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3378"/>
    <w:rPr>
      <w:rFonts w:ascii="Calibri" w:eastAsia="Calibri" w:hAnsi="Calibri" w:cs="Calibri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D3378"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827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8DF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27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8DF"/>
    <w:rPr>
      <w:rFonts w:ascii="Calibri" w:eastAsia="Calibri" w:hAnsi="Calibri" w:cs="Calibri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B9"/>
    <w:rPr>
      <w:rFonts w:ascii="Segoe UI" w:eastAsia="Calibr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Mrs Burbank</cp:lastModifiedBy>
  <cp:revision>2</cp:revision>
  <cp:lastPrinted>2022-04-25T12:01:00Z</cp:lastPrinted>
  <dcterms:created xsi:type="dcterms:W3CDTF">2022-07-04T15:59:00Z</dcterms:created>
  <dcterms:modified xsi:type="dcterms:W3CDTF">2022-07-04T15:59:00Z</dcterms:modified>
</cp:coreProperties>
</file>